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8"/>
        <w:tblpPr w:horzAnchor="margin" w:tblpXSpec="left" w:vertAnchor="page" w:tblpY="482" w:leftFromText="180" w:topFromText="0" w:rightFromText="180" w:bottomFromText="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>
        <w:trPr>
          <w:trHeight w:val="964"/>
        </w:trPr>
        <w:tc>
          <w:tcPr>
            <w:tcW w:w="9853" w:type="dxa"/>
            <w:textDirection w:val="lrTb"/>
            <w:noWrap w:val="false"/>
          </w:tcPr>
          <w:p>
            <w:pPr>
              <w:jc w:val="center"/>
            </w:pPr>
            <w:r>
              <mc:AlternateContent>
                <mc:Choice Requires="wps">
                  <w:drawing>
                    <wp:inline xmlns:wp="http://schemas.openxmlformats.org/drawingml/2006/wordprocessingDrawing" distT="0" distB="0" distL="0" distR="0">
                      <wp:extent cx="522604" cy="620394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22605" cy="620395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?: 1 1 0"/>
                                  <a:gd name="gd2" fmla="+- gd1 1 0"/>
                                  <a:gd name="gd3" fmla="+- 0 0 gd2"/>
                                  <a:gd name="gd4" fmla="*/ gd3 1 2"/>
                                  <a:gd name="gd5" fmla="*/ gd4 21600 21600"/>
                                  <a:gd name="gd6" fmla="*/ gd4 21600 21600"/>
                                  <a:gd name="gd7" fmla="+- gd1 0 1"/>
                                  <a:gd name="gd8" fmla="*/ gd7 1 2"/>
                                  <a:gd name="gd9" fmla="*/ gd8 21600 21600"/>
                                  <a:gd name="gd10" fmla="+- gd9 21600 0"/>
                                  <a:gd name="gd11" fmla="*/ gd8 21600 21600"/>
                                  <a:gd name="gd12" fmla="+- gd11 21600 0"/>
                                  <a:gd name="gd13" fmla="val gd5"/>
                                  <a:gd name="gd14" fmla="val gd6"/>
                                  <a:gd name="gd15" fmla="val gd5"/>
                                  <a:gd name="gd16" fmla="val gd12"/>
                                  <a:gd name="gd17" fmla="val gd10"/>
                                  <a:gd name="gd18" fmla="val gd12"/>
                                  <a:gd name="gd19" fmla="val gd10"/>
                                  <a:gd name="gd20" fmla="val gd6"/>
                                  <a:gd name="gd21" fmla="*/ w 0 21600"/>
                                  <a:gd name="gd22" fmla="*/ h 0 21600"/>
                                  <a:gd name="gd23" fmla="*/ w 21600 21600"/>
                                  <a:gd name="gd24" fmla="*/ h 21600 21600"/>
                                </a:gdLst>
                                <a:ahLst/>
                                <a:cxnLst/>
                                <a:rect l="gd21" t="gd22" r="gd23" b="gd24"/>
                                <a:pathLst>
                                  <a:path w="21600" h="21600" fill="norm" stroke="1" extrusionOk="0">
                                    <a:moveTo>
                                      <a:pt x="gd13" y="gd14"/>
                                    </a:moveTo>
                                    <a:lnTo>
                                      <a:pt x="gd15" y="gd16"/>
                                    </a:lnTo>
                                    <a:lnTo>
                                      <a:pt x="gd17" y="gd18"/>
                                    </a:lnTo>
                                    <a:lnTo>
                                      <a:pt x="gd19" y="gd20"/>
                                    </a:lnTo>
                                    <a:close/>
                                  </a:path>
                                  <a:path w="21600" h="21600" fill="norm" stroke="1" extrusionOk="0"/>
                                </a:pathLst>
                              </a:custGeom>
                              <a:blipFill>
                                <a:blip r:embed="rId10"/>
                                <a:stretch/>
                              </a:blip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0" o:spid="_x0000_s0000" style="mso-wrap-distance-left:0.0pt;mso-wrap-distance-top:0.0pt;mso-wrap-distance-right:0.0pt;mso-wrap-distance-bottom:0.0pt;width:41.1pt;height:48.8pt;" coordsize="100000,100000" path="m-2,-4l-2,100000l99998,100000l99998,-4xee">
                      <v:path textboxrect="0,0,99998,100000"/>
                      <v:fill r:id="rId10" o:title="" type="frame"/>
                    </v:shape>
                  </w:pict>
                </mc:Fallback>
              </mc:AlternateContent>
            </w:r>
            <w:r/>
          </w:p>
        </w:tc>
      </w:tr>
      <w:tr>
        <w:trPr>
          <w:trHeight w:val="1729"/>
        </w:trPr>
        <w:tc>
          <w:tcPr>
            <w:tcW w:w="9853" w:type="dxa"/>
            <w:textDirection w:val="lrTb"/>
            <w:noWrap w:val="false"/>
          </w:tcPr>
          <w:p>
            <w:pPr>
              <w:pStyle w:val="129"/>
              <w:rPr>
                <w:rFonts w:ascii="Times New Roman" w:hAnsi="Times New Roman"/>
                <w:b w:val="false"/>
                <w:color w:val="auto"/>
              </w:rPr>
            </w:pPr>
            <w:r>
              <w:rPr>
                <w:rFonts w:ascii="Times New Roman" w:hAnsi="Times New Roman"/>
                <w:b w:val="false"/>
                <w:color w:val="auto"/>
              </w:rPr>
              <w:t xml:space="preserve">РОСКОМНАДЗОР</w:t>
            </w:r>
            <w:r/>
          </w:p>
          <w:p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r/>
          </w:p>
          <w:p>
            <w:pPr>
              <w:pStyle w:val="129"/>
              <w:tabs>
                <w:tab w:val="left" w:pos="645"/>
                <w:tab w:val="center" w:pos="4818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НФОРМАЦИОННЫХ ТЕХНОЛОГИЙ 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МАССОВЫХ КОММУНИКАЦИЙ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СМОЛЕНСКОЙ ОБЛАСТИ</w:t>
            </w:r>
            <w:r/>
          </w:p>
          <w:p>
            <w:r/>
            <w:r/>
          </w:p>
        </w:tc>
      </w:tr>
      <w:tr>
        <w:trPr>
          <w:trHeight w:val="1418"/>
        </w:trPr>
        <w:tc>
          <w:tcPr>
            <w:tcW w:w="9853" w:type="dxa"/>
            <w:textDirection w:val="lrTb"/>
            <w:noWrap w:val="false"/>
          </w:tcPr>
          <w:p>
            <w:pPr>
              <w:pStyle w:val="129"/>
              <w:spacing w:after="0" w:before="0"/>
              <w:tabs>
                <w:tab w:val="left" w:pos="1230"/>
                <w:tab w:val="center" w:pos="4818"/>
              </w:tabs>
              <w:rPr>
                <w:rFonts w:ascii="Times New Roman" w:hAnsi="Times New Roman"/>
                <w:bCs w:val="false"/>
                <w:color w:val="auto"/>
                <w:spacing w:val="100"/>
                <w:sz w:val="44"/>
                <w:szCs w:val="44"/>
              </w:rPr>
            </w:pPr>
            <w:r>
              <w:rPr>
                <w:rFonts w:ascii="Times New Roman" w:hAnsi="Times New Roman"/>
                <w:bCs w:val="false"/>
                <w:color w:val="auto"/>
                <w:spacing w:val="100"/>
                <w:sz w:val="44"/>
                <w:szCs w:val="44"/>
              </w:rPr>
              <w:t xml:space="preserve">ПРИКАЗ</w:t>
            </w:r>
            <w:r/>
          </w:p>
          <w:tbl>
            <w:tblPr>
              <w:tblpPr w:horzAnchor="margin" w:tblpX="108" w:vertAnchor="text" w:tblpY="369" w:leftFromText="180" w:topFromText="0" w:rightFromText="180" w:bottomFromText="0"/>
              <w:tblW w:w="0" w:type="auto"/>
              <w:tblLook w:val="0000" w:firstRow="0" w:lastRow="0" w:firstColumn="0" w:lastColumn="0" w:noHBand="0" w:noVBand="0"/>
            </w:tblPr>
            <w:tblGrid>
              <w:gridCol w:w="3216"/>
              <w:gridCol w:w="3282"/>
              <w:gridCol w:w="3139"/>
            </w:tblGrid>
            <w:tr>
              <w:trPr/>
              <w:tc>
                <w:tcPr>
                  <w:tcW w:w="3365" w:type="dxa"/>
                  <w:textDirection w:val="lrTb"/>
                  <w:noWrap w:val="false"/>
                </w:tcPr>
                <w:p>
                  <w:pPr>
                    <w:pStyle w:val="136"/>
                    <w:spacing w:lineRule="auto" w:line="2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14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.03.2017</w:t>
                  </w:r>
                  <w:r/>
                </w:p>
              </w:tc>
              <w:tc>
                <w:tcPr>
                  <w:tcW w:w="3474" w:type="dxa"/>
                  <w:textDirection w:val="lrTb"/>
                  <w:noWrap w:val="false"/>
                </w:tcPr>
                <w:p>
                  <w:pPr>
                    <w:pStyle w:val="136"/>
                    <w:jc w:val="center"/>
                    <w:spacing w:lineRule="auto" w:line="27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Смоленск</w:t>
                  </w:r>
                  <w:r/>
                </w:p>
              </w:tc>
              <w:tc>
                <w:tcPr>
                  <w:tcW w:w="3367" w:type="dxa"/>
                  <w:textDirection w:val="lrTb"/>
                  <w:noWrap w:val="false"/>
                </w:tcPr>
                <w:p>
                  <w:pPr>
                    <w:pStyle w:val="137"/>
                    <w:spacing w:lineRule="auto" w:line="27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№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31</w:t>
                  </w:r>
                  <w:r/>
                </w:p>
              </w:tc>
            </w:tr>
          </w:tbl>
          <w:p>
            <w:pPr>
              <w:pStyle w:val="134"/>
              <w:jc w:val="left"/>
              <w:rPr>
                <w:color w:val="auto"/>
                <w:spacing w:val="0"/>
                <w:sz w:val="27"/>
                <w:szCs w:val="27"/>
              </w:rPr>
            </w:pPr>
            <w:r>
              <w:rPr>
                <w:color w:val="auto"/>
                <w:spacing w:val="0"/>
                <w:sz w:val="27"/>
                <w:szCs w:val="27"/>
              </w:rPr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1021"/>
        </w:trPr>
        <w:tc>
          <w:tcPr>
            <w:tcW w:w="985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center"/>
        <w:spacing w:after="100" w:afterAutospacing="1" w:before="100" w:beforeAutospacing="1"/>
        <w:rPr>
          <w:b/>
          <w:sz w:val="28"/>
          <w:szCs w:val="28"/>
        </w:rPr>
      </w:pPr>
      <w:r>
        <w:rPr>
          <w:b/>
        </w:rPr>
        <w:t xml:space="preserve"> </w:t>
      </w:r>
      <w:r>
        <w:rPr>
          <w:b/>
          <w:sz w:val="28"/>
          <w:szCs w:val="28"/>
        </w:rPr>
        <w:t xml:space="preserve">Об утверждении положения о порядке рассмотрения обращений граждан и организаций по фактам коррупции в деятельности Управления </w:t>
      </w:r>
      <w:r>
        <w:rPr>
          <w:b/>
          <w:sz w:val="28"/>
          <w:szCs w:val="28"/>
        </w:rPr>
        <w:t xml:space="preserve">Роскомнадзора</w:t>
      </w:r>
      <w:r>
        <w:rPr>
          <w:b/>
          <w:sz w:val="28"/>
          <w:szCs w:val="28"/>
        </w:rPr>
        <w:t xml:space="preserve"> по Смоленской области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 мая 2010 года N 59-ФЗ "О порядке рассмотрения обращений граждан Российской Федерации", в целях реализации Федерального закона Российской Федерации </w:t>
      </w:r>
      <w:hyperlink r:id="rId11" w:history="1">
        <w:r>
          <w:rPr>
            <w:sz w:val="28"/>
            <w:szCs w:val="28"/>
          </w:rPr>
          <w:t xml:space="preserve">от 25 декабря 2008 года N 273-ФЗ "О противодействии коррупции"</w:t>
        </w:r>
      </w:hyperlink>
      <w:r>
        <w:rPr>
          <w:sz w:val="28"/>
          <w:szCs w:val="28"/>
        </w:rPr>
        <w:t xml:space="preserve"> и организации эффективной работы по рассмотрению обращений граждан и организаций по фактам коррупции в деятельности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прилагаемое Положение о порядке рассмотрения обращений граждан и организаций по фактам коррупции в деятельности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Смоленской </w:t>
      </w:r>
      <w:r>
        <w:rPr>
          <w:sz w:val="28"/>
          <w:szCs w:val="28"/>
        </w:rPr>
        <w:t xml:space="preserve">области.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Администратору официального интернет-сайта Управления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Смоленской области (Архипову В.А.) опубликовать настоящий приказ в разделе «Противодействие коррупции»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организационной, правовой работы и кадров (</w:t>
      </w:r>
      <w:r>
        <w:rPr>
          <w:sz w:val="28"/>
          <w:szCs w:val="28"/>
        </w:rPr>
        <w:t xml:space="preserve">Теслина</w:t>
      </w:r>
      <w:r>
        <w:rPr>
          <w:sz w:val="28"/>
          <w:szCs w:val="28"/>
        </w:rPr>
        <w:t xml:space="preserve"> Е.В.)</w:t>
      </w:r>
      <w:r>
        <w:rPr>
          <w:sz w:val="28"/>
          <w:szCs w:val="28"/>
        </w:rPr>
        <w:t xml:space="preserve"> ознакомить с настоящим приказом государственных гражданских служащих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Смоленской области.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настоящего приказа оставляю за собой.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А.А.Жуков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100" w:afterAutospacing="1" w:before="100" w:beforeAutospacing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УТВЕРЖДЕНО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Приказом 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Управления </w:t>
      </w:r>
      <w:r>
        <w:rPr>
          <w:bCs/>
          <w:sz w:val="28"/>
          <w:szCs w:val="28"/>
        </w:rPr>
        <w:t xml:space="preserve">Роскомнадзора</w:t>
      </w:r>
      <w:r>
        <w:rPr>
          <w:bCs/>
          <w:sz w:val="28"/>
          <w:szCs w:val="28"/>
        </w:rPr>
        <w:t xml:space="preserve"> 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 Смоленской области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«14» марта 2017 г.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31</w:t>
      </w:r>
      <w:r/>
    </w:p>
    <w:p>
      <w:pPr>
        <w:spacing w:after="100" w:afterAutospacing="1" w:before="100" w:beforeAutospacing="1"/>
        <w:rPr>
          <w:bCs/>
          <w:sz w:val="36"/>
          <w:szCs w:val="36"/>
        </w:rPr>
      </w:pPr>
      <w:r>
        <w:rPr>
          <w:bCs/>
          <w:sz w:val="36"/>
          <w:szCs w:val="36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рассмотрения обращений граждан и организаций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фактам коррупции в деятельности Управления </w:t>
      </w:r>
      <w:r>
        <w:rPr>
          <w:b/>
          <w:bCs/>
          <w:sz w:val="28"/>
          <w:szCs w:val="28"/>
        </w:rPr>
        <w:t xml:space="preserve">Роскомнадзора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Смоленской области</w:t>
      </w:r>
      <w:r/>
    </w:p>
    <w:p>
      <w:pPr>
        <w:jc w:val="center"/>
        <w:spacing w:after="100" w:afterAutospacing="1" w:before="100" w:before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</w:t>
      </w:r>
      <w:r>
        <w:rPr>
          <w:b/>
          <w:bCs/>
          <w:sz w:val="27"/>
          <w:szCs w:val="27"/>
        </w:rPr>
        <w:t xml:space="preserve">. Общие положения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Настоящее Положение о порядке рассмотрения обращений граждан и организаций по фактам коррупции в деятельности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 xml:space="preserve"> (далее - Положение) разработано во исполнение требований </w:t>
      </w:r>
      <w:hyperlink r:id="rId12" w:history="1">
        <w:r>
          <w:rPr>
            <w:sz w:val="28"/>
            <w:szCs w:val="28"/>
          </w:rPr>
          <w:t xml:space="preserve">Федерального </w:t>
        </w:r>
        <w:r>
          <w:rPr>
            <w:sz w:val="28"/>
            <w:szCs w:val="28"/>
          </w:rPr>
          <w:t xml:space="preserve">закона от 25 декабря 2008 года № 273-ФЗ «</w:t>
        </w:r>
        <w:r>
          <w:rPr>
            <w:sz w:val="28"/>
            <w:szCs w:val="28"/>
          </w:rPr>
          <w:t xml:space="preserve">О противодействии коррупции</w:t>
        </w:r>
      </w:hyperlink>
      <w:r>
        <w:rPr>
          <w:sz w:val="28"/>
          <w:szCs w:val="28"/>
        </w:rPr>
        <w:t xml:space="preserve">» и  </w:t>
      </w:r>
      <w:r>
        <w:rPr>
          <w:sz w:val="28"/>
          <w:szCs w:val="28"/>
        </w:rPr>
        <w:t xml:space="preserve">устанавливает процедуру рассмотрения обращений граждан и организаций по фактам коррупции в </w:t>
      </w:r>
      <w:r>
        <w:rPr>
          <w:sz w:val="28"/>
          <w:szCs w:val="28"/>
        </w:rPr>
        <w:t xml:space="preserve">Управлении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Смоленской области (далее </w:t>
        <w:noBreakHyphen/>
        <w:t xml:space="preserve"> Управление).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соответствии со статьей 1 </w:t>
      </w:r>
      <w:hyperlink r:id="rId13" w:history="1">
        <w:r>
          <w:rPr>
            <w:sz w:val="28"/>
            <w:szCs w:val="28"/>
          </w:rPr>
          <w:t xml:space="preserve">Федерального </w:t>
        </w:r>
        <w:r>
          <w:rPr>
            <w:sz w:val="28"/>
            <w:szCs w:val="28"/>
          </w:rPr>
          <w:t xml:space="preserve">закона от 25 декабря 2008 года № 273-ФЗ «</w:t>
        </w:r>
        <w:r>
          <w:rPr>
            <w:sz w:val="28"/>
            <w:szCs w:val="28"/>
          </w:rPr>
          <w:t xml:space="preserve">О противодействии коррупции</w:t>
        </w:r>
      </w:hyperlink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коррупцией являются: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</w:t>
      </w:r>
      <w:r>
        <w:rPr>
          <w:sz w:val="28"/>
          <w:szCs w:val="28"/>
        </w:rPr>
        <w:t xml:space="preserve"> такой выгоды указанному лицу другими физическими лицами;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Граждане и представители различных организаций могут обращаться в </w:t>
      </w:r>
      <w:r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с сообщением информации обо всех ставших им известными фактах коррупции со стороны государственных гражданских служащих </w:t>
      </w:r>
      <w:r>
        <w:rPr>
          <w:sz w:val="28"/>
          <w:szCs w:val="28"/>
        </w:rPr>
        <w:t xml:space="preserve">Управления.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4</w:t>
      </w:r>
      <w:r>
        <w:rPr>
          <w:sz w:val="28"/>
          <w:szCs w:val="28"/>
        </w:rPr>
        <w:t xml:space="preserve">. Организация учета и обеспечение своевременного рассмотрения обращений граждан и организаций по фактам коррупции в деятельности 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осуществляются отделом </w:t>
      </w:r>
      <w:r>
        <w:rPr>
          <w:sz w:val="28"/>
          <w:szCs w:val="28"/>
        </w:rPr>
        <w:t xml:space="preserve">организационной, правовой работы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</w:t>
      </w:r>
      <w:r>
        <w:rPr>
          <w:sz w:val="28"/>
          <w:szCs w:val="28"/>
        </w:rPr>
        <w:t xml:space="preserve">. При рассмотрении обращений граждан не допускается разглашение сведений, касающихся частной жизни граждан, без их согласия.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6</w:t>
      </w:r>
      <w:r>
        <w:rPr>
          <w:sz w:val="28"/>
          <w:szCs w:val="28"/>
        </w:rPr>
        <w:t xml:space="preserve">. Информация о порядке направления обращений граждан о проявлениях </w:t>
      </w:r>
      <w:r>
        <w:rPr>
          <w:sz w:val="28"/>
          <w:szCs w:val="28"/>
        </w:rPr>
        <w:t xml:space="preserve">коррупции в деятельности 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 доводится до сведения населения по сети Интернет.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. Организация приема обращений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официальном сайте Управления в сети Интернет</w:t>
      </w:r>
      <w:r>
        <w:rPr>
          <w:color w:val="000000"/>
          <w:sz w:val="28"/>
          <w:szCs w:val="28"/>
        </w:rPr>
        <w:t xml:space="preserve"> по адресу 67</w:t>
      </w:r>
      <w:r>
        <w:rPr>
          <w:color w:val="000000"/>
          <w:sz w:val="28"/>
          <w:szCs w:val="28"/>
          <w:lang w:val="en-US"/>
        </w:rPr>
        <w:t xml:space="preserve">rkn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gov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 размещены разделы «Противодействие коррупции» и «Общественная приемная», где размещены сведения о работе Комиссии Управления </w:t>
      </w:r>
      <w:r>
        <w:rPr>
          <w:color w:val="000000"/>
          <w:sz w:val="28"/>
          <w:szCs w:val="28"/>
        </w:rPr>
        <w:t xml:space="preserve">Роскомнадзора</w:t>
      </w:r>
      <w:r>
        <w:rPr>
          <w:color w:val="000000"/>
          <w:sz w:val="28"/>
          <w:szCs w:val="28"/>
        </w:rPr>
        <w:t xml:space="preserve"> по Смоленской области по соблюдению требований к служебному поведению федеральных государственных гражданских служащих и урегулированию конфликта интересов, а также указаны способы обращения граждан и организаций по фактам коррупции: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почтовый адрес (для письменных отправлений)</w:t>
      </w:r>
      <w:r>
        <w:rPr>
          <w:color w:val="000000"/>
          <w:sz w:val="28"/>
          <w:szCs w:val="28"/>
        </w:rPr>
        <w:t xml:space="preserve"> 214025, г. Смоленск, ул. Нахимова, д. 21</w:t>
      </w:r>
      <w:r>
        <w:rPr>
          <w:color w:val="000000"/>
          <w:sz w:val="28"/>
          <w:szCs w:val="28"/>
        </w:rPr>
        <w:t xml:space="preserve">;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телефону для устных сообщений</w:t>
      </w:r>
      <w:r>
        <w:rPr>
          <w:color w:val="000000"/>
          <w:sz w:val="28"/>
          <w:szCs w:val="28"/>
        </w:rPr>
        <w:t xml:space="preserve"> - «телефон доверия» (4812) 35-40-02, факсу (4812) 35-50-20</w:t>
      </w:r>
      <w:r>
        <w:rPr>
          <w:color w:val="000000"/>
          <w:sz w:val="28"/>
          <w:szCs w:val="28"/>
        </w:rPr>
        <w:t xml:space="preserve">;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адрес электронный почты (для обращений через Интернет-сайт)</w:t>
      </w:r>
      <w:r>
        <w:rPr>
          <w:color w:val="000000"/>
          <w:sz w:val="28"/>
          <w:szCs w:val="28"/>
        </w:rPr>
        <w:t xml:space="preserve"> </w:t>
        <w:noBreakHyphen/>
        <w:t xml:space="preserve"> </w:t>
      </w:r>
      <w:r>
        <w:rPr>
          <w:color w:val="000000"/>
          <w:sz w:val="28"/>
          <w:szCs w:val="28"/>
          <w:lang w:val="en-US"/>
        </w:rPr>
        <w:t xml:space="preserve">rsockanc</w:t>
      </w:r>
      <w:r>
        <w:rPr>
          <w:color w:val="000000"/>
          <w:sz w:val="28"/>
          <w:szCs w:val="28"/>
        </w:rPr>
        <w:t xml:space="preserve">67@</w:t>
      </w:r>
      <w:r>
        <w:rPr>
          <w:color w:val="000000"/>
          <w:sz w:val="28"/>
          <w:szCs w:val="28"/>
          <w:lang w:val="en-US"/>
        </w:rPr>
        <w:t xml:space="preserve">rkn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gov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личный прием (осуществляется руководством Управления).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 xml:space="preserve"> обращения граждан и организаций по фактам коррупции в деятельности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подлежит обязательной регистрации в течение трех дней с момента поступления в Управление.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Обращения регистрируются и учитываются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журнале регистрации обращений граждан по фактам коррупционной направленности с кратким изложением сути обращения (Приложение № 1). </w:t>
      </w:r>
      <w:r>
        <w:rPr>
          <w:sz w:val="28"/>
          <w:szCs w:val="28"/>
        </w:rPr>
        <w:t xml:space="preserve">Листы в журнале регистрации обращений нумеруются, прошнуровываются, скрепляются печатью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Обращение заявителя должно содержать следующую информацию: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(последнее -  при наличии) гражданина, которым подается обращение;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должность, фамилию, имя, отчество государственного гражданского служащего Управления о фактах </w:t>
      </w:r>
      <w:r>
        <w:rPr>
          <w:sz w:val="28"/>
          <w:szCs w:val="28"/>
        </w:rPr>
        <w:t xml:space="preserve">коррупции</w:t>
      </w:r>
      <w:r>
        <w:rPr>
          <w:sz w:val="28"/>
          <w:szCs w:val="28"/>
        </w:rPr>
        <w:t xml:space="preserve"> со стороны которого подано обращение;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суть обращения;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доказательств, документов или свидетелей проявления коррупции в деятельности указанного должностного лица при их наличии;</w:t>
      </w:r>
      <w:r>
        <w:rPr>
          <w:sz w:val="28"/>
          <w:szCs w:val="28"/>
        </w:rPr>
        <w:br/>
        <w:t xml:space="preserve">- иную информацию, способствующую объективному рассмотрению обращения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аименование органа, в который направляется письменное обращение, либо фамилия, имя, отчество должностного лица, либо должность соответствующего лица, которому направляется письменное обращение;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по которому должен быть направлен ответ или адрес электронной почты, если ответ должен быть направлен в форме электронного документа;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личную подпись и дату </w:t>
        <w:noBreakHyphen/>
        <w:t xml:space="preserve"> для письменных обращений.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в Российской Федерации».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когда в обращении содержатся сведения о готовящемся, совершаемом или совершенном противоправном деянии, а так же о лице, его готовящем, совершающем или совершившем, обращение рекомендуется регистрировать и направлять в соответствующий государственный орган в кратчайший срок.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Анонимные обращения, а так же обращения </w:t>
      </w:r>
      <w:r>
        <w:rPr>
          <w:sz w:val="28"/>
          <w:szCs w:val="28"/>
        </w:rPr>
        <w:t xml:space="preserve">буз</w:t>
      </w:r>
      <w:r>
        <w:rPr>
          <w:sz w:val="28"/>
          <w:szCs w:val="28"/>
        </w:rPr>
        <w:t xml:space="preserve"> указания конкретных лиц и обстоятельств дела рассматриваются в соответствии с Федеральным законом от 2 мая 2006 г. № 59-ФЗ «О порядке рассмотрения обращений граждан в Российской Федерации».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поступающие обращения</w:t>
      </w:r>
      <w:r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 xml:space="preserve">организаций, а также публикации в СМИ, выявленные</w:t>
      </w:r>
      <w:r>
        <w:rPr>
          <w:sz w:val="28"/>
          <w:szCs w:val="28"/>
        </w:rPr>
        <w:t xml:space="preserve"> в ходе проводимого мониторинга СМИ</w:t>
      </w:r>
      <w:r>
        <w:rPr>
          <w:sz w:val="28"/>
          <w:szCs w:val="28"/>
        </w:rPr>
        <w:t xml:space="preserve">, дающие</w:t>
      </w:r>
      <w:r>
        <w:rPr>
          <w:sz w:val="28"/>
          <w:szCs w:val="28"/>
        </w:rPr>
        <w:t xml:space="preserve"> основания полагать о наличии в них сведений о фактах коррупции в деятельности </w:t>
      </w:r>
      <w:r>
        <w:rPr>
          <w:sz w:val="28"/>
          <w:szCs w:val="28"/>
        </w:rPr>
        <w:t xml:space="preserve">Управления</w:t>
      </w:r>
      <w:r>
        <w:rPr>
          <w:sz w:val="28"/>
          <w:szCs w:val="28"/>
        </w:rPr>
        <w:t xml:space="preserve">, предварительно изучаются </w:t>
      </w:r>
      <w:r>
        <w:rPr>
          <w:sz w:val="28"/>
          <w:szCs w:val="28"/>
        </w:rPr>
        <w:t xml:space="preserve">в отделе организационной, правовой работы и кадров</w:t>
      </w:r>
      <w:r>
        <w:rPr>
          <w:sz w:val="28"/>
          <w:szCs w:val="28"/>
        </w:rPr>
        <w:t xml:space="preserve"> в срок не более двух дней с момента поступления.</w:t>
      </w:r>
      <w:r>
        <w:rPr>
          <w:sz w:val="28"/>
          <w:szCs w:val="28"/>
        </w:rPr>
        <w:t xml:space="preserve">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 публикациям в </w:t>
      </w:r>
      <w:r>
        <w:rPr>
          <w:sz w:val="28"/>
          <w:szCs w:val="28"/>
        </w:rPr>
        <w:t xml:space="preserve">СМИ (средствах массовой информации)</w:t>
      </w:r>
      <w:r>
        <w:rPr>
          <w:sz w:val="28"/>
          <w:szCs w:val="28"/>
        </w:rPr>
        <w:t xml:space="preserve"> осуществляется путем систематического анализа публикаций с целью выявления в них сведений о фактах коррупции в деятельности </w:t>
      </w:r>
      <w:r>
        <w:rPr>
          <w:sz w:val="28"/>
          <w:szCs w:val="28"/>
        </w:rPr>
        <w:t xml:space="preserve">гражданских</w:t>
      </w:r>
      <w:r>
        <w:rPr>
          <w:sz w:val="28"/>
          <w:szCs w:val="28"/>
        </w:rPr>
        <w:t xml:space="preserve"> служащих, замещающих должности государственной гражданской службы в Управлении, в том числе о несоблюдении гражданскими служащими обязанностей, ограничений и запретов, связанных с </w:t>
      </w:r>
      <w:r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гражданской службой, требований к служебному поведению гражданского служащего, а также о наличии у</w:t>
      </w:r>
      <w:r>
        <w:rPr>
          <w:sz w:val="28"/>
          <w:szCs w:val="28"/>
        </w:rPr>
        <w:t xml:space="preserve"> гражданского служащего заинтересованности, которая приводит или может привести к конфликту интересов, о возникновении конфликта интересов.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 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Управления или его заместителю, являющемуся председателем Комиссии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рассмотрения обращений принимаются необходимые организационные решения о порядке дальнейшего рассмотрения по существу, в том числе определяются исполнители и необходимость особого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рассмотрением обращения.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решение принимается заместителем Руководителя Управления, Руководителю оперативно представляется информация о поступивших обращениях.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. В пятидневный срок со дня регистрации обращения необходимо направить заявителю Уведомление о принятии обращения к рассмотрению и </w:t>
      </w:r>
      <w:r>
        <w:rPr>
          <w:sz w:val="28"/>
          <w:szCs w:val="28"/>
        </w:rPr>
        <w:t xml:space="preserve">решении о дальнейшем ходе его рассмотрения в Управлении, а также, при необходимости запрос дополнительных разъяснительных материалов по существу дела.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 Обращение  не направляется должностному лицу, решение или действие (бездействие) которого является предметом обращения.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. Организация </w:t>
      </w:r>
      <w:r>
        <w:rPr>
          <w:b/>
          <w:bCs/>
          <w:sz w:val="28"/>
          <w:szCs w:val="28"/>
        </w:rPr>
        <w:t xml:space="preserve">рассмотрения обращений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подготовки ответа заявителю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15</w:t>
      </w:r>
      <w:r>
        <w:rPr>
          <w:bCs/>
          <w:sz w:val="28"/>
          <w:szCs w:val="28"/>
        </w:rPr>
        <w:t xml:space="preserve">. Ответственным исполнителем по рассмотрению обращения и подготовке ответа заявителю является должностное лицо отдела организационной, правовой работы и кадров Управления, ответственное за работу по профилактике коррупционных и иных правонарушений.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16</w:t>
      </w:r>
      <w:r>
        <w:rPr>
          <w:bCs/>
          <w:sz w:val="28"/>
          <w:szCs w:val="28"/>
        </w:rPr>
        <w:t xml:space="preserve">. Исполнители при проведении </w:t>
      </w:r>
      <w:r>
        <w:rPr>
          <w:bCs/>
          <w:sz w:val="28"/>
          <w:szCs w:val="28"/>
        </w:rPr>
        <w:t xml:space="preserve">провекри</w:t>
      </w:r>
      <w:r>
        <w:rPr>
          <w:bCs/>
          <w:sz w:val="28"/>
          <w:szCs w:val="28"/>
        </w:rPr>
        <w:t xml:space="preserve"> информации, изложенной в обращении: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запрашивают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принимают меры, </w:t>
      </w:r>
      <w:r>
        <w:rPr>
          <w:bCs/>
          <w:sz w:val="28"/>
          <w:szCs w:val="28"/>
        </w:rPr>
        <w:t xml:space="preserve">напарвленные</w:t>
      </w:r>
      <w:r>
        <w:rPr>
          <w:bCs/>
          <w:sz w:val="28"/>
          <w:szCs w:val="28"/>
        </w:rPr>
        <w:t xml:space="preserve"> на восстановление и защиту нарушенных прав, свобод и законных интересов заявителей.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17</w:t>
      </w:r>
      <w:r>
        <w:rPr>
          <w:bCs/>
          <w:sz w:val="28"/>
          <w:szCs w:val="28"/>
        </w:rPr>
        <w:t xml:space="preserve">. Ответственный исполнитель вправе направлять заявителю промежуточные письма об основных этапах рассмотрения обращения. Ответственный исполнитель также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государственной власти, </w:t>
      </w:r>
      <w:r>
        <w:rPr>
          <w:bCs/>
          <w:sz w:val="28"/>
          <w:szCs w:val="28"/>
        </w:rPr>
        <w:t xml:space="preserve">оран</w:t>
      </w:r>
      <w:r>
        <w:rPr>
          <w:bCs/>
          <w:sz w:val="28"/>
          <w:szCs w:val="28"/>
        </w:rPr>
        <w:t xml:space="preserve"> местного самоуправления или иному должностному лицу в соответствии с их компетенцией.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18</w:t>
      </w:r>
      <w:r>
        <w:rPr>
          <w:bCs/>
          <w:sz w:val="28"/>
          <w:szCs w:val="28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гражданскому служащему мер ответственности либо отсутствии оснований для проведения проверки и о </w:t>
      </w:r>
      <w:r>
        <w:rPr>
          <w:bCs/>
          <w:sz w:val="28"/>
          <w:szCs w:val="28"/>
        </w:rPr>
        <w:t xml:space="preserve">неподтверждении</w:t>
      </w:r>
      <w:r>
        <w:rPr>
          <w:bCs/>
          <w:sz w:val="28"/>
          <w:szCs w:val="28"/>
        </w:rPr>
        <w:t xml:space="preserve"> фактов коррупции.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Сроки рассмотрения обращений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19</w:t>
      </w:r>
      <w:r>
        <w:rPr>
          <w:bCs/>
          <w:sz w:val="28"/>
          <w:szCs w:val="28"/>
        </w:rPr>
        <w:t xml:space="preserve">. Обращения, поступившие в Управление, в соответствии с частью 1 статьи 12 Федерального закона от 2 мая 2006 г. № 59-ФЗ «О порядке рассмотрения обращений граждан Российской Федерации» рассматриваются в течение 30 дней со дня их регистрации.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 необходимости решением руководителя моет устанавливаться более короткий срок рассмотрения обращения.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Мониторинг рассмотрения обращений и размещение информации об итогах их рассмотрения на официальном интернет-сайте Управления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20</w:t>
      </w:r>
      <w:r>
        <w:rPr>
          <w:bCs/>
          <w:sz w:val="28"/>
          <w:szCs w:val="28"/>
        </w:rPr>
        <w:t xml:space="preserve">. В соответствии с Планом противодействия коррупции в Управлени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ежеквартально проводится мониторинг рассмотрения обращений по фактам коррупционных проявлений, данные которого анализируются и обобщаются.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рамках мониторинга проводится анализ результатов проведенной работы за квартал по таким показателям как: общее количество полученных обращений, тематика обращений, количество проведенных проверок, меры реагирования, число государственных гражданских служащих, привлеченных к ответственности и другим показателям.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21</w:t>
      </w:r>
      <w:r>
        <w:rPr>
          <w:bCs/>
          <w:sz w:val="28"/>
          <w:szCs w:val="28"/>
        </w:rPr>
        <w:t xml:space="preserve">. Ежеквартально в срок до 20 числа месяца предшествующего отчетному периоду информация о результатах рассмотрения обращений граждан, организаций, публикаций в СМИ представляется руководителю Управления.</w:t>
      </w:r>
      <w:r/>
    </w:p>
    <w:p>
      <w:pPr>
        <w:ind w:firstLine="720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  <w:br/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240" w:before="100" w:beforeAutospacing="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spacing w:after="100" w:afterAutospacing="1" w:before="100" w:beforeAutospacing="1"/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p>
      <w:pPr>
        <w:jc w:val="right"/>
        <w:spacing w:after="100" w:afterAutospacing="1" w:before="100" w:beforeAutospacing="1"/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p>
      <w:pPr>
        <w:jc w:val="right"/>
        <w:spacing w:after="100" w:afterAutospacing="1" w:before="100" w:beforeAutospacing="1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Приложение </w:t>
      </w:r>
      <w:r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 xml:space="preserve">1 </w:t>
      </w:r>
      <w:r/>
    </w:p>
    <w:p>
      <w:pPr>
        <w:jc w:val="center"/>
        <w:spacing w:after="100" w:afterAutospacing="1" w:before="100" w:beforeAutospacing="1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Журнал регистрации обращений граждан о фактах коррупции</w:t>
      </w:r>
      <w:r/>
    </w:p>
    <w:p>
      <w:pPr>
        <w:jc w:val="center"/>
        <w:spacing w:after="100" w:afterAutospacing="1" w:before="100" w:beforeAutospacing="1"/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tbl>
      <w:tblPr>
        <w:tblStyle w:val="138"/>
        <w:tblW w:w="10593" w:type="dxa"/>
        <w:tblInd w:w="-102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631"/>
        <w:gridCol w:w="1527"/>
        <w:gridCol w:w="851"/>
        <w:gridCol w:w="851"/>
        <w:gridCol w:w="1416"/>
        <w:gridCol w:w="1095"/>
        <w:gridCol w:w="1095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 xml:space="preserve">п.п</w:t>
            </w:r>
            <w:r>
              <w:rPr>
                <w:bCs/>
              </w:rPr>
              <w:t xml:space="preserve">.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Дата, время поступления обращения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Ф.И</w:t>
            </w:r>
            <w:r>
              <w:rPr>
                <w:bCs/>
              </w:rPr>
              <w:t xml:space="preserve">,О</w:t>
            </w:r>
            <w:r>
              <w:rPr>
                <w:bCs/>
              </w:rPr>
              <w:t xml:space="preserve">. обратившегося</w:t>
            </w:r>
            <w:r>
              <w:rPr>
                <w:bCs/>
              </w:rPr>
              <w:t xml:space="preserve"> (наименование организации)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Адрес </w:t>
            </w:r>
            <w:r>
              <w:rPr>
                <w:bCs/>
              </w:rPr>
              <w:t xml:space="preserve">обратившегося</w:t>
            </w:r>
            <w:r>
              <w:rPr>
                <w:bCs/>
              </w:rPr>
              <w:t xml:space="preserve">, телефон, адрес электронной почты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Иные сведения о заявителе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Краткое содержание обращения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Отметка о возможном наличии в полученном сообщении признаков коррупционных проявлений</w:t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Решение о направлении и рассмотрении обращения</w:t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Подпись должностного лица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2</w:t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3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4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5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6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7</w:t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8</w:t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  <w:t xml:space="preserve">9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63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10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jc w:val="center"/>
        <w:spacing w:after="100" w:afterAutospacing="1" w:before="100" w:beforeAutospacing="1"/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p>
      <w:r>
        <w:br w:type="page"/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Рекомендуемая форма обращения о коррупционных правонарушениях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</w:pPr>
      <w:r>
        <w:t xml:space="preserve">В Управление </w:t>
      </w:r>
      <w:r>
        <w:t xml:space="preserve">Роскомнадзора</w:t>
      </w:r>
      <w:r>
        <w:t xml:space="preserve"> по Смоленской области</w:t>
      </w:r>
      <w:r>
        <w:br/>
        <w:t xml:space="preserve">от ________________________________________________</w:t>
      </w:r>
      <w:r>
        <w:br/>
      </w:r>
      <w:r>
        <w:rPr>
          <w:sz w:val="18"/>
          <w:szCs w:val="18"/>
        </w:rPr>
        <w:t xml:space="preserve">(Ф.И.О. гражданина; наименование организации,</w:t>
      </w:r>
      <w:r>
        <w:rPr>
          <w:sz w:val="18"/>
          <w:szCs w:val="18"/>
        </w:rPr>
        <w:br/>
        <w:t xml:space="preserve">Ф.И.О. лица, представляющего организацию)</w:t>
      </w:r>
      <w:r>
        <w:br/>
        <w:t xml:space="preserve">___________________________________________________</w:t>
      </w:r>
      <w:r>
        <w:br/>
      </w:r>
      <w:r>
        <w:rPr>
          <w:sz w:val="18"/>
          <w:szCs w:val="18"/>
        </w:rPr>
        <w:t xml:space="preserve">(место жительства, телефон; адрес организации,</w:t>
      </w:r>
      <w:r>
        <w:rPr>
          <w:sz w:val="18"/>
          <w:szCs w:val="18"/>
        </w:rPr>
        <w:br/>
        <w:t xml:space="preserve">телефон)</w:t>
      </w:r>
      <w:r>
        <w:rPr>
          <w:sz w:val="18"/>
          <w:szCs w:val="18"/>
        </w:rPr>
        <w:br/>
      </w:r>
      <w:r>
        <w:t xml:space="preserve">___________________________________________________</w:t>
      </w:r>
      <w:r>
        <w:br/>
      </w:r>
      <w:r>
        <w:br/>
      </w:r>
      <w:r/>
    </w:p>
    <w:p>
      <w:pPr>
        <w:jc w:val="both"/>
      </w:pPr>
      <w:r>
        <w:t xml:space="preserve">Сообщаю, что:</w:t>
      </w:r>
      <w:r/>
    </w:p>
    <w:p>
      <w:pPr>
        <w:jc w:val="both"/>
      </w:pPr>
      <w:r>
        <w:br/>
        <w:t xml:space="preserve">1. ________________________________________________________________________</w:t>
      </w:r>
      <w:r>
        <w:br/>
        <w:t xml:space="preserve">(Ф.И.О. государственного гражданского служащего</w:t>
      </w:r>
      <w:r>
        <w:t xml:space="preserve">)</w:t>
      </w:r>
      <w:r>
        <w:t xml:space="preserve"> </w:t>
      </w:r>
      <w:r/>
    </w:p>
    <w:p>
      <w:pPr>
        <w:jc w:val="both"/>
      </w:pPr>
      <w:r>
        <w:br/>
        <w:t xml:space="preserve">2. ________________________________________________________________________</w:t>
      </w:r>
      <w:r>
        <w:br/>
        <w:t xml:space="preserve">(описание обстоятельств, при которых заявителю стало известно о случаях</w:t>
      </w:r>
      <w:r>
        <w:br/>
        <w:t xml:space="preserve">совершения коррупционных правонарушений государственным гражданским</w:t>
      </w:r>
      <w:r>
        <w:br/>
        <w:t xml:space="preserve">служащим)</w:t>
      </w:r>
      <w:r>
        <w:br/>
      </w:r>
      <w:r>
        <w:br/>
        <w:t xml:space="preserve">3. ________________________________________________________________________</w:t>
      </w:r>
      <w:r>
        <w:br/>
        <w:t xml:space="preserve">(подробные сведения о коррупционных правонарушениях, которые совершил</w:t>
      </w:r>
      <w:r>
        <w:br/>
        <w:t xml:space="preserve">государственный гражданский служащий)</w:t>
      </w:r>
      <w:r/>
    </w:p>
    <w:p>
      <w:pPr>
        <w:jc w:val="both"/>
      </w:pPr>
      <w:r>
        <w:t xml:space="preserve">___________________________________________________________________________</w:t>
      </w:r>
      <w:r>
        <w:br/>
        <w:t xml:space="preserve">___________________________________________________________________________</w:t>
      </w:r>
      <w:r>
        <w:br/>
        <w:t xml:space="preserve">__________________________________________________________________________</w:t>
      </w:r>
      <w:r>
        <w:br/>
        <w:t xml:space="preserve">___________________________________________________________________________</w:t>
      </w:r>
      <w:r>
        <w:br/>
        <w:t xml:space="preserve">___________________________________________________________________________</w:t>
      </w:r>
      <w:r>
        <w:br/>
      </w:r>
      <w:r>
        <w:br/>
        <w:t xml:space="preserve">4. ________________________________________________________________________</w:t>
      </w:r>
      <w:r>
        <w:br/>
        <w:t xml:space="preserve">(материалы, подтверждающие Ваше обращение, при наличии)</w:t>
      </w:r>
      <w:r>
        <w:br/>
        <w:t xml:space="preserve">___________________________________________________________________________</w:t>
      </w:r>
      <w:r>
        <w:br/>
        <w:t xml:space="preserve">___________________________________________________________________________</w:t>
      </w:r>
      <w:r>
        <w:br/>
        <w:t xml:space="preserve">___________________________________________________________________________</w:t>
      </w:r>
      <w:r>
        <w:br/>
      </w:r>
      <w:r>
        <w:br/>
        <w:t xml:space="preserve">______________________ ___________________________________</w:t>
      </w:r>
      <w:r>
        <w:br/>
        <w:t xml:space="preserve">(дата) (подпись, инициалы и фамилия)</w:t>
      </w:r>
      <w:r/>
    </w:p>
    <w:p>
      <w:pPr>
        <w:jc w:val="center"/>
      </w:pPr>
      <w:r/>
      <w:r/>
    </w:p>
    <w:sectPr>
      <w:headerReference w:type="default" r:id="rId8"/>
      <w:headerReference w:type="even" r:id="rId9"/>
      <w:footnotePr/>
      <w:type w:val="nextPage"/>
      <w:pgSz w:w="11906" w:h="16838"/>
      <w:pgMar w:top="1021" w:right="851" w:bottom="1134" w:left="1418" w:gutter="0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9"/>
      <w:rPr>
        <w:rStyle w:val="140"/>
      </w:rPr>
      <w:framePr w:wrap="around" w:vAnchor="text" w:hAnchor="margin" w:xAlign="center" w:y="1"/>
    </w:pPr>
    <w:r>
      <w:rPr>
        <w:rStyle w:val="140"/>
      </w:rPr>
    </w:r>
    <w:fldSimple w:instr="PAGE \* MERGEFORMAT">
      <w:r>
        <w:rPr>
          <w:rStyle w:val="140"/>
        </w:rPr>
        <w:t xml:space="preserve">1</w:t>
      </w:r>
    </w:fldSimple>
    <w:r>
      <w:rPr>
        <w:rStyle w:val="140"/>
      </w:rPr>
    </w:r>
    <w:r>
      <w:rPr>
        <w:rStyle w:val="140"/>
      </w:rPr>
    </w:r>
    <w:r/>
  </w:p>
  <w:p>
    <w:pPr>
      <w:pStyle w:val="1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9"/>
      <w:rPr>
        <w:rStyle w:val="140"/>
      </w:rPr>
      <w:framePr w:wrap="around" w:vAnchor="text" w:hAnchor="margin" w:xAlign="center" w:y="1"/>
    </w:pPr>
    <w:r>
      <w:rPr>
        <w:rStyle w:val="140"/>
      </w:rPr>
    </w:r>
    <w:r>
      <w:rPr>
        <w:rStyle w:val="140"/>
      </w:rPr>
    </w:r>
    <w:r/>
  </w:p>
  <w:p>
    <w:pPr>
      <w:pStyle w:val="1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2"/>
    <w:basedOn w:val="128"/>
    <w:next w:val="12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28"/>
    <w:next w:val="12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28"/>
    <w:next w:val="12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28"/>
    <w:next w:val="12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28"/>
    <w:next w:val="12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28"/>
    <w:next w:val="12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28"/>
    <w:next w:val="12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28"/>
    <w:next w:val="12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0">
    <w:name w:val="List Paragraph"/>
    <w:basedOn w:val="128"/>
    <w:qFormat/>
    <w:uiPriority w:val="34"/>
    <w:pPr>
      <w:contextualSpacing w:val="true"/>
      <w:ind w:left="720"/>
    </w:pPr>
  </w:style>
  <w:style w:type="paragraph" w:styleId="22">
    <w:name w:val="No Spacing"/>
    <w:basedOn w:val="128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28"/>
    <w:next w:val="12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28"/>
    <w:next w:val="128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28"/>
    <w:next w:val="12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28"/>
    <w:next w:val="12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8">
    <w:name w:val="Footer"/>
    <w:basedOn w:val="128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30">
    <w:name w:val="Lined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28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30"/>
    <w:uiPriority w:val="99"/>
    <w:semiHidden/>
    <w:rPr>
      <w:sz w:val="20"/>
    </w:rPr>
  </w:style>
  <w:style w:type="character" w:styleId="54">
    <w:name w:val="footnote reference"/>
    <w:basedOn w:val="130"/>
    <w:uiPriority w:val="99"/>
    <w:semiHidden/>
    <w:unhideWhenUsed/>
    <w:rPr>
      <w:vertAlign w:val="superscript"/>
    </w:rPr>
  </w:style>
  <w:style w:type="paragraph" w:styleId="128" w:default="1">
    <w:name w:val="Normal"/>
    <w:qFormat/>
    <w:rPr>
      <w:sz w:val="24"/>
      <w:szCs w:val="24"/>
    </w:rPr>
  </w:style>
  <w:style w:type="paragraph" w:styleId="129">
    <w:name w:val="Heading 1"/>
    <w:basedOn w:val="128"/>
    <w:next w:val="128"/>
    <w:qFormat/>
    <w:rPr>
      <w:rFonts w:ascii="Arial" w:hAnsi="Arial" w:cs="Arial"/>
      <w:b/>
      <w:bCs/>
      <w:color w:val="000080"/>
      <w:sz w:val="20"/>
      <w:szCs w:val="20"/>
    </w:rPr>
    <w:pPr>
      <w:jc w:val="center"/>
      <w:spacing w:after="108" w:before="108"/>
      <w:widowControl w:val="off"/>
    </w:pPr>
  </w:style>
  <w:style w:type="character" w:styleId="130" w:default="1">
    <w:name w:val="Default Paragraph Font"/>
    <w:uiPriority w:val="1"/>
    <w:semiHidden/>
    <w:unhideWhenUsed/>
  </w:style>
  <w:style w:type="table" w:styleId="1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2" w:default="1">
    <w:name w:val="No List"/>
    <w:uiPriority w:val="99"/>
    <w:semiHidden/>
    <w:unhideWhenUsed/>
  </w:style>
  <w:style w:type="character" w:styleId="133">
    <w:name w:val="Заголовок 1 Знак"/>
    <w:basedOn w:val="130"/>
    <w:rPr>
      <w:rFonts w:ascii="Arial" w:hAnsi="Arial" w:cs="Arial"/>
      <w:b/>
      <w:bCs/>
      <w:color w:val="000080"/>
      <w:lang w:val="ru-RU" w:bidi="ar-SA" w:eastAsia="ru-RU"/>
    </w:rPr>
  </w:style>
  <w:style w:type="paragraph" w:styleId="134">
    <w:name w:val="Body Text"/>
    <w:basedOn w:val="128"/>
    <w:rPr>
      <w:b/>
      <w:color w:val="000000"/>
      <w:spacing w:val="20"/>
      <w:sz w:val="28"/>
      <w:szCs w:val="28"/>
    </w:rPr>
    <w:pPr>
      <w:jc w:val="center"/>
    </w:pPr>
  </w:style>
  <w:style w:type="paragraph" w:styleId="135">
    <w:name w:val="ConsNonformat"/>
    <w:rPr>
      <w:rFonts w:ascii="Courier New" w:hAnsi="Courier New" w:cs="Courier New"/>
    </w:rPr>
    <w:pPr>
      <w:widowControl w:val="off"/>
    </w:pPr>
  </w:style>
  <w:style w:type="paragraph" w:styleId="136">
    <w:name w:val="Текст (лев. подпись)"/>
    <w:basedOn w:val="128"/>
    <w:next w:val="128"/>
    <w:rPr>
      <w:rFonts w:ascii="Arial" w:hAnsi="Arial" w:cs="Arial"/>
      <w:sz w:val="20"/>
      <w:szCs w:val="20"/>
    </w:rPr>
    <w:pPr>
      <w:widowControl w:val="off"/>
    </w:pPr>
  </w:style>
  <w:style w:type="paragraph" w:styleId="137">
    <w:name w:val="Текст (прав. подпись)"/>
    <w:basedOn w:val="128"/>
    <w:next w:val="128"/>
    <w:rPr>
      <w:rFonts w:ascii="Arial" w:hAnsi="Arial" w:cs="Arial"/>
      <w:sz w:val="20"/>
      <w:szCs w:val="20"/>
    </w:rPr>
    <w:pPr>
      <w:jc w:val="right"/>
      <w:widowControl w:val="off"/>
    </w:pPr>
  </w:style>
  <w:style w:type="table" w:styleId="138">
    <w:name w:val="Table Grid"/>
    <w:basedOn w:val="131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39">
    <w:name w:val="Header"/>
    <w:basedOn w:val="128"/>
    <w:pPr>
      <w:tabs>
        <w:tab w:val="center" w:pos="4677"/>
        <w:tab w:val="right" w:pos="9355"/>
      </w:tabs>
    </w:pPr>
  </w:style>
  <w:style w:type="character" w:styleId="140">
    <w:name w:val="page number"/>
    <w:basedOn w:val="130"/>
  </w:style>
  <w:style w:type="paragraph" w:styleId="141">
    <w:name w:val="Document Map"/>
    <w:basedOn w:val="128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paragraph" w:styleId="142">
    <w:name w:val="Balloon Text"/>
    <w:basedOn w:val="128"/>
    <w:semiHidden/>
    <w:rPr>
      <w:rFonts w:ascii="Tahoma" w:hAnsi="Tahoma" w:cs="Tahoma"/>
      <w:sz w:val="16"/>
      <w:szCs w:val="16"/>
    </w:rPr>
  </w:style>
  <w:style w:type="paragraph" w:styleId="143">
    <w:name w:val="Основной текст с отступом 31"/>
    <w:basedOn w:val="128"/>
    <w:rPr>
      <w:lang w:eastAsia="ar-SA"/>
    </w:rPr>
    <w:pPr>
      <w:ind w:left="3420" w:hanging="3419"/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png"/><Relationship Id="rId11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135263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