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DEE" w14:textId="77777777"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1961917A" w:rsidR="00AF713A" w:rsidRPr="00F0361F" w:rsidRDefault="00AF713A" w:rsidP="00AF713A">
      <w:pPr>
        <w:ind w:left="284"/>
        <w:jc w:val="center"/>
        <w:rPr>
          <w:b/>
        </w:rPr>
      </w:pPr>
      <w:r w:rsidRPr="00F0361F">
        <w:rPr>
          <w:b/>
        </w:rPr>
        <w:t>на замещени</w:t>
      </w:r>
      <w:r w:rsidR="00C23B74">
        <w:rPr>
          <w:b/>
        </w:rPr>
        <w:t>е</w:t>
      </w:r>
      <w:r w:rsidRPr="00F0361F">
        <w:rPr>
          <w:b/>
        </w:rPr>
        <w:t xml:space="preserve"> вакантн</w:t>
      </w:r>
      <w:r w:rsidR="0000360C">
        <w:rPr>
          <w:b/>
        </w:rPr>
        <w:t>ой</w:t>
      </w:r>
      <w:r w:rsidRPr="00F0361F">
        <w:rPr>
          <w:b/>
        </w:rPr>
        <w:t xml:space="preserve"> должност</w:t>
      </w:r>
      <w:r w:rsidR="0000360C">
        <w:rPr>
          <w:b/>
        </w:rPr>
        <w:t>и</w:t>
      </w:r>
      <w:r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05C8C4BF"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замещени</w:t>
      </w:r>
      <w:r w:rsidR="00C23B74">
        <w:t>е</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пп</w:t>
            </w:r>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8A72BD" w:rsidRPr="00F0361F" w14:paraId="138F677E" w14:textId="77777777" w:rsidTr="00110CFA">
        <w:tc>
          <w:tcPr>
            <w:tcW w:w="426" w:type="dxa"/>
          </w:tcPr>
          <w:p w14:paraId="275D66D8" w14:textId="5A6B2F4D" w:rsidR="008A72BD" w:rsidRPr="00F0361F" w:rsidRDefault="00D005DA" w:rsidP="00D703B9">
            <w:pPr>
              <w:jc w:val="center"/>
              <w:rPr>
                <w:bCs/>
                <w:sz w:val="20"/>
                <w:szCs w:val="20"/>
              </w:rPr>
            </w:pPr>
            <w:r>
              <w:rPr>
                <w:bCs/>
                <w:sz w:val="20"/>
                <w:szCs w:val="20"/>
              </w:rPr>
              <w:t>1</w:t>
            </w:r>
          </w:p>
        </w:tc>
        <w:tc>
          <w:tcPr>
            <w:tcW w:w="1985" w:type="dxa"/>
            <w:gridSpan w:val="2"/>
          </w:tcPr>
          <w:p w14:paraId="453F245E" w14:textId="7C85548F" w:rsidR="00041EEF" w:rsidRPr="00F0361F" w:rsidRDefault="00E10A4D" w:rsidP="007D4948">
            <w:pPr>
              <w:rPr>
                <w:bCs/>
                <w:sz w:val="20"/>
                <w:szCs w:val="20"/>
              </w:rPr>
            </w:pPr>
            <w:r>
              <w:rPr>
                <w:sz w:val="20"/>
                <w:szCs w:val="20"/>
              </w:rPr>
              <w:t>Ведущий специалист-эксперт</w:t>
            </w:r>
          </w:p>
          <w:p w14:paraId="2262F0F5" w14:textId="77777777" w:rsidR="00041EEF" w:rsidRPr="00F0361F" w:rsidRDefault="00041EEF" w:rsidP="007D4948">
            <w:pPr>
              <w:rPr>
                <w:bCs/>
                <w:sz w:val="20"/>
                <w:szCs w:val="20"/>
              </w:rPr>
            </w:pPr>
          </w:p>
          <w:p w14:paraId="48C2B36E" w14:textId="77777777" w:rsidR="008A72BD" w:rsidRPr="00F0361F" w:rsidRDefault="008A72BD" w:rsidP="007D4948">
            <w:pPr>
              <w:rPr>
                <w:bCs/>
                <w:sz w:val="20"/>
                <w:szCs w:val="20"/>
              </w:rPr>
            </w:pPr>
          </w:p>
        </w:tc>
        <w:tc>
          <w:tcPr>
            <w:tcW w:w="1559" w:type="dxa"/>
          </w:tcPr>
          <w:p w14:paraId="706A674A" w14:textId="6F3B9693" w:rsidR="008A72BD" w:rsidRPr="00F0361F" w:rsidRDefault="00E10A4D" w:rsidP="00A6119A">
            <w:pPr>
              <w:jc w:val="center"/>
              <w:rPr>
                <w:bCs/>
                <w:sz w:val="20"/>
                <w:szCs w:val="20"/>
              </w:rPr>
            </w:pPr>
            <w:r>
              <w:rPr>
                <w:bCs/>
                <w:sz w:val="20"/>
                <w:szCs w:val="20"/>
              </w:rPr>
              <w:t>Специалисты</w:t>
            </w:r>
            <w:r w:rsidR="00D005DA">
              <w:rPr>
                <w:bCs/>
                <w:sz w:val="20"/>
                <w:szCs w:val="20"/>
              </w:rPr>
              <w:t xml:space="preserve">, </w:t>
            </w:r>
            <w:r>
              <w:rPr>
                <w:bCs/>
                <w:sz w:val="20"/>
                <w:szCs w:val="20"/>
              </w:rPr>
              <w:t>старшая</w:t>
            </w:r>
            <w:r w:rsidR="008331AE">
              <w:rPr>
                <w:bCs/>
                <w:sz w:val="20"/>
                <w:szCs w:val="20"/>
              </w:rPr>
              <w:t xml:space="preserve"> </w:t>
            </w:r>
            <w:r w:rsidR="00D005DA">
              <w:rPr>
                <w:bCs/>
                <w:sz w:val="20"/>
                <w:szCs w:val="20"/>
              </w:rPr>
              <w:t>группа должностей</w:t>
            </w:r>
          </w:p>
        </w:tc>
        <w:tc>
          <w:tcPr>
            <w:tcW w:w="1985" w:type="dxa"/>
          </w:tcPr>
          <w:p w14:paraId="3D09640A" w14:textId="77777777"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14:paraId="2C4FABA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14:paraId="0779CFB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67232880" w14:textId="77777777"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4AD5A219" w14:textId="77777777" w:rsidR="00A6119A" w:rsidRPr="00F0361F" w:rsidRDefault="00A6119A" w:rsidP="00A6119A">
            <w:pPr>
              <w:pStyle w:val="ac"/>
              <w:jc w:val="both"/>
            </w:pPr>
            <w:r w:rsidRPr="00F0361F">
              <w:t>- работа с базами данных и реестрами;</w:t>
            </w:r>
          </w:p>
          <w:p w14:paraId="3E2C2445" w14:textId="77777777" w:rsidR="00A6119A" w:rsidRPr="00F0361F" w:rsidRDefault="00A6119A" w:rsidP="00A6119A">
            <w:pPr>
              <w:pStyle w:val="ac"/>
              <w:jc w:val="both"/>
            </w:pPr>
            <w:r w:rsidRPr="00F0361F">
              <w:t>Знания:</w:t>
            </w:r>
          </w:p>
          <w:p w14:paraId="3E78455B" w14:textId="77777777" w:rsidR="00A6119A" w:rsidRPr="00F0361F" w:rsidRDefault="00A6119A" w:rsidP="00A6119A">
            <w:pPr>
              <w:pStyle w:val="ac"/>
              <w:jc w:val="both"/>
            </w:pPr>
            <w:r w:rsidRPr="00F0361F">
              <w:t>- законодательства в сфере связи и подзаконных актов;</w:t>
            </w:r>
          </w:p>
          <w:p w14:paraId="270994A5" w14:textId="77777777" w:rsidR="00A6119A" w:rsidRPr="00F0361F" w:rsidRDefault="00A6119A" w:rsidP="00A6119A">
            <w:pPr>
              <w:pStyle w:val="ac"/>
              <w:jc w:val="both"/>
            </w:pPr>
            <w:r w:rsidRPr="00F0361F">
              <w:t>- Кодекса Российской Федерации об административных правонарушениях;</w:t>
            </w:r>
          </w:p>
          <w:p w14:paraId="35983697"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759EE357" w14:textId="4DCA6DF7" w:rsidR="00A6119A" w:rsidRPr="00F0361F" w:rsidRDefault="00A6119A" w:rsidP="00A6119A">
            <w:pPr>
              <w:pStyle w:val="ac"/>
              <w:jc w:val="both"/>
            </w:pPr>
            <w:r w:rsidRPr="00F0361F">
              <w:t xml:space="preserve">- </w:t>
            </w:r>
            <w:r w:rsidR="00E10A4D">
              <w:t>в</w:t>
            </w:r>
            <w:r w:rsidRPr="00F0361F">
              <w:t>опросы применения риск-ориентированного подхода при организации государственного контроля (надзора);</w:t>
            </w:r>
          </w:p>
          <w:p w14:paraId="6B8468AE" w14:textId="77777777"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14:paraId="04D9318F" w14:textId="2A291639" w:rsidR="008A72BD" w:rsidRPr="00F0361F" w:rsidRDefault="00A6119A" w:rsidP="0004621F">
            <w:pPr>
              <w:pStyle w:val="ac"/>
              <w:jc w:val="both"/>
              <w:rPr>
                <w:szCs w:val="28"/>
              </w:rPr>
            </w:pPr>
            <w:r w:rsidRPr="00F0361F">
              <w:t>- аппаратного и программного обеспечения.</w:t>
            </w:r>
          </w:p>
        </w:tc>
        <w:tc>
          <w:tcPr>
            <w:tcW w:w="3685" w:type="dxa"/>
          </w:tcPr>
          <w:p w14:paraId="2C0D0DF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ведущего специалиста-эксперта в пределах его компетенции возложены следующие должностные обязанности: </w:t>
            </w:r>
          </w:p>
          <w:p w14:paraId="0BDD771A" w14:textId="14206726"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14:paraId="4A2EE70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w:t>
            </w:r>
          </w:p>
          <w:p w14:paraId="0461D56F"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операторами связи правил оказания услуг связи;</w:t>
            </w:r>
          </w:p>
          <w:p w14:paraId="3845A74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управлению сетями связи;</w:t>
            </w:r>
          </w:p>
          <w:p w14:paraId="632FA2E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14:paraId="0BB6A57C" w14:textId="5B1CABCA" w:rsidR="005746E5" w:rsidRPr="00D005DA" w:rsidRDefault="00E10A4D" w:rsidP="0004621F">
            <w:pPr>
              <w:pStyle w:val="ConsPlusNormal"/>
              <w:jc w:val="both"/>
              <w:rPr>
                <w:sz w:val="16"/>
                <w:szCs w:val="16"/>
              </w:rPr>
            </w:pPr>
            <w:r w:rsidRPr="00E10A4D">
              <w:rPr>
                <w:rFonts w:ascii="Times New Roman" w:hAnsi="Times New Roman" w:cs="Times New Roman"/>
                <w:sz w:val="18"/>
                <w:szCs w:val="18"/>
              </w:rPr>
              <w:t>за выполнением операторами связи требований к сетям и средствам связи для проведения оперативно-розыскных мероприятий;</w:t>
            </w:r>
          </w:p>
        </w:tc>
        <w:tc>
          <w:tcPr>
            <w:tcW w:w="709" w:type="dxa"/>
          </w:tcPr>
          <w:p w14:paraId="78F7394B" w14:textId="1DE94903" w:rsidR="008A72BD" w:rsidRPr="00F0361F" w:rsidRDefault="00BA2A7F" w:rsidP="00384414">
            <w:pPr>
              <w:jc w:val="center"/>
              <w:rPr>
                <w:bCs/>
                <w:sz w:val="20"/>
                <w:szCs w:val="20"/>
              </w:rPr>
            </w:pPr>
            <w:r>
              <w:rPr>
                <w:bCs/>
                <w:sz w:val="20"/>
                <w:szCs w:val="20"/>
              </w:rPr>
              <w:t>20</w:t>
            </w:r>
            <w:r w:rsidR="007E1C33">
              <w:rPr>
                <w:bCs/>
                <w:sz w:val="20"/>
                <w:szCs w:val="20"/>
              </w:rPr>
              <w:t>,0</w:t>
            </w:r>
          </w:p>
        </w:tc>
        <w:tc>
          <w:tcPr>
            <w:tcW w:w="708" w:type="dxa"/>
          </w:tcPr>
          <w:p w14:paraId="3F5DFBBD" w14:textId="138A63F6" w:rsidR="008A72BD" w:rsidRPr="00F0361F" w:rsidRDefault="00BA2A7F" w:rsidP="00073B29">
            <w:pPr>
              <w:jc w:val="center"/>
              <w:rPr>
                <w:bCs/>
                <w:sz w:val="20"/>
                <w:szCs w:val="20"/>
              </w:rPr>
            </w:pPr>
            <w:r>
              <w:rPr>
                <w:bCs/>
                <w:sz w:val="20"/>
                <w:szCs w:val="20"/>
              </w:rPr>
              <w:t>30</w:t>
            </w:r>
            <w:r w:rsidR="007E1C33">
              <w:rPr>
                <w:bCs/>
                <w:sz w:val="20"/>
                <w:szCs w:val="20"/>
              </w:rPr>
              <w:t>,0</w:t>
            </w:r>
          </w:p>
        </w:tc>
      </w:tr>
    </w:tbl>
    <w:p w14:paraId="5842C4DE" w14:textId="75F74543" w:rsidR="00F41D44" w:rsidRPr="00F0361F" w:rsidRDefault="00F41D44" w:rsidP="00F41D44">
      <w:r w:rsidRPr="00F0361F">
        <w:t xml:space="preserve">                          </w:t>
      </w:r>
    </w:p>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lastRenderedPageBreak/>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lastRenderedPageBreak/>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55CA19A" w14:textId="744CF3F8" w:rsidR="0080252D" w:rsidRDefault="002F2EF5" w:rsidP="00C23B74">
      <w:pPr>
        <w:autoSpaceDE w:val="0"/>
        <w:autoSpaceDN w:val="0"/>
        <w:adjustRightInd w:val="0"/>
        <w:ind w:firstLine="709"/>
        <w:jc w:val="both"/>
      </w:pPr>
      <w:r w:rsidRPr="00F0361F">
        <w:rPr>
          <w:rFonts w:eastAsiaTheme="minorHAnsi"/>
          <w:lang w:eastAsia="en-US"/>
        </w:rPr>
        <w:t>а)</w:t>
      </w:r>
      <w:r w:rsidR="00C23B74">
        <w:rPr>
          <w:rFonts w:eastAsiaTheme="minorHAnsi"/>
          <w:lang w:eastAsia="en-US"/>
        </w:rPr>
        <w:t xml:space="preserve"> справка об отсутствии неснятой или непогашенной судимости.</w:t>
      </w: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lastRenderedPageBreak/>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1511EEA3"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00C23B74" w:rsidRPr="00C23B74">
        <w:rPr>
          <w:b/>
          <w:bCs/>
        </w:rPr>
        <w:t xml:space="preserve">с </w:t>
      </w:r>
      <w:r w:rsidR="008D4DA4">
        <w:rPr>
          <w:b/>
          <w:bCs/>
        </w:rPr>
        <w:t>2</w:t>
      </w:r>
      <w:r w:rsidR="00BA2A7F">
        <w:rPr>
          <w:b/>
          <w:bCs/>
        </w:rPr>
        <w:t>1</w:t>
      </w:r>
      <w:r w:rsidR="00C23B74">
        <w:rPr>
          <w:b/>
          <w:bCs/>
        </w:rPr>
        <w:t xml:space="preserve"> </w:t>
      </w:r>
      <w:r w:rsidR="00BA2A7F">
        <w:rPr>
          <w:b/>
          <w:bCs/>
        </w:rPr>
        <w:t>июля</w:t>
      </w:r>
      <w:r w:rsidR="00C23B74">
        <w:rPr>
          <w:b/>
          <w:bCs/>
        </w:rPr>
        <w:t xml:space="preserve"> 2022 года </w:t>
      </w:r>
      <w:r w:rsidRPr="00C23B74">
        <w:rPr>
          <w:b/>
          <w:bCs/>
        </w:rPr>
        <w:t>до</w:t>
      </w:r>
      <w:r w:rsidRPr="004E535B">
        <w:rPr>
          <w:b/>
        </w:rPr>
        <w:t xml:space="preserve"> </w:t>
      </w:r>
      <w:r w:rsidR="00C23B74">
        <w:rPr>
          <w:b/>
        </w:rPr>
        <w:t>1</w:t>
      </w:r>
      <w:r w:rsidR="00BA2A7F">
        <w:rPr>
          <w:b/>
        </w:rPr>
        <w:t>0</w:t>
      </w:r>
      <w:r w:rsidRPr="004E535B">
        <w:rPr>
          <w:b/>
        </w:rPr>
        <w:t xml:space="preserve"> </w:t>
      </w:r>
      <w:r w:rsidR="00BA2A7F">
        <w:rPr>
          <w:b/>
        </w:rPr>
        <w:t>августа</w:t>
      </w:r>
      <w:r w:rsidRPr="004E535B">
        <w:rPr>
          <w:b/>
        </w:rPr>
        <w:t xml:space="preserve"> 20</w:t>
      </w:r>
      <w:r w:rsidR="00CE5860">
        <w:rPr>
          <w:b/>
        </w:rPr>
        <w:t>2</w:t>
      </w:r>
      <w:r w:rsidR="007E1C33">
        <w:rPr>
          <w:b/>
        </w:rPr>
        <w:t>2</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214025, </w:t>
      </w:r>
      <w:r w:rsidRPr="00F0361F">
        <w:t xml:space="preserve"> с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16.00 </w:t>
      </w:r>
      <w:r w:rsidRPr="00F0361F">
        <w:t>.</w:t>
      </w:r>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lastRenderedPageBreak/>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8" w:history="1">
        <w:r w:rsidR="00CE5860" w:rsidRPr="00AD3C72">
          <w:rPr>
            <w:rStyle w:val="a9"/>
            <w:lang w:val="en-US"/>
          </w:rPr>
          <w:t>www</w:t>
        </w:r>
        <w:r w:rsidR="00CE5860" w:rsidRPr="00AD3C72">
          <w:rPr>
            <w:rStyle w:val="a9"/>
          </w:rPr>
          <w:t>.67</w:t>
        </w:r>
        <w:r w:rsidR="00CE5860" w:rsidRPr="00AD3C72">
          <w:rPr>
            <w:rStyle w:val="a9"/>
            <w:lang w:val="en-US"/>
          </w:rPr>
          <w:t>rkn</w:t>
        </w:r>
        <w:r w:rsidR="00CE5860" w:rsidRPr="00AD3C72">
          <w:rPr>
            <w:rStyle w:val="a9"/>
          </w:rPr>
          <w:t>.</w:t>
        </w:r>
        <w:r w:rsidR="00CE5860" w:rsidRPr="00AD3C72">
          <w:rPr>
            <w:rStyle w:val="a9"/>
            <w:lang w:val="en-US"/>
          </w:rPr>
          <w:t>gov</w:t>
        </w:r>
        <w:r w:rsidR="00CE5860" w:rsidRPr="00AD3C72">
          <w:rPr>
            <w:rStyle w:val="a9"/>
          </w:rPr>
          <w:t>.</w:t>
        </w:r>
        <w:r w:rsidR="00CE5860" w:rsidRPr="00AD3C72">
          <w:rPr>
            <w:rStyle w:val="a9"/>
            <w:lang w:val="en-US"/>
          </w:rPr>
          <w:t>ru</w:t>
        </w:r>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2DC059BB"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BA2A7F">
        <w:rPr>
          <w:b/>
        </w:rPr>
        <w:t>четвертая</w:t>
      </w:r>
      <w:r w:rsidR="00C23B74">
        <w:rPr>
          <w:b/>
        </w:rPr>
        <w:t xml:space="preserve"> декада августа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04621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96FC" w14:textId="77777777" w:rsidR="004564DB" w:rsidRDefault="004564DB" w:rsidP="00320ED0">
      <w:r>
        <w:separator/>
      </w:r>
    </w:p>
  </w:endnote>
  <w:endnote w:type="continuationSeparator" w:id="0">
    <w:p w14:paraId="3A447AD5" w14:textId="77777777" w:rsidR="004564DB" w:rsidRDefault="004564DB"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8667" w14:textId="77777777" w:rsidR="004564DB" w:rsidRDefault="004564DB" w:rsidP="00320ED0">
      <w:r>
        <w:separator/>
      </w:r>
    </w:p>
  </w:footnote>
  <w:footnote w:type="continuationSeparator" w:id="0">
    <w:p w14:paraId="34970C1F" w14:textId="77777777" w:rsidR="004564DB" w:rsidRDefault="004564DB"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938634146">
    <w:abstractNumId w:val="0"/>
  </w:num>
  <w:num w:numId="2" w16cid:durableId="1671132484">
    <w:abstractNumId w:val="4"/>
  </w:num>
  <w:num w:numId="3" w16cid:durableId="1973171469">
    <w:abstractNumId w:val="3"/>
  </w:num>
  <w:num w:numId="4" w16cid:durableId="335622478">
    <w:abstractNumId w:val="7"/>
  </w:num>
  <w:num w:numId="5" w16cid:durableId="1954550356">
    <w:abstractNumId w:val="8"/>
  </w:num>
  <w:num w:numId="6" w16cid:durableId="572156481">
    <w:abstractNumId w:val="2"/>
  </w:num>
  <w:num w:numId="7" w16cid:durableId="1269853514">
    <w:abstractNumId w:val="5"/>
  </w:num>
  <w:num w:numId="8" w16cid:durableId="1037050861">
    <w:abstractNumId w:val="6"/>
  </w:num>
  <w:num w:numId="9" w16cid:durableId="133836199">
    <w:abstractNumId w:val="10"/>
  </w:num>
  <w:num w:numId="10" w16cid:durableId="822039938">
    <w:abstractNumId w:val="1"/>
  </w:num>
  <w:num w:numId="11" w16cid:durableId="1063791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4621F"/>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564DB"/>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95CCB"/>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1C33"/>
    <w:rsid w:val="007E260C"/>
    <w:rsid w:val="007E7199"/>
    <w:rsid w:val="007F1A61"/>
    <w:rsid w:val="007F1B66"/>
    <w:rsid w:val="007F260D"/>
    <w:rsid w:val="007F4256"/>
    <w:rsid w:val="007F48E3"/>
    <w:rsid w:val="0080252D"/>
    <w:rsid w:val="0082336B"/>
    <w:rsid w:val="00826146"/>
    <w:rsid w:val="008331AE"/>
    <w:rsid w:val="008402B8"/>
    <w:rsid w:val="00846A7F"/>
    <w:rsid w:val="008527C4"/>
    <w:rsid w:val="0086242A"/>
    <w:rsid w:val="00862F6D"/>
    <w:rsid w:val="008A1E9D"/>
    <w:rsid w:val="008A1FEB"/>
    <w:rsid w:val="008A72BD"/>
    <w:rsid w:val="008B43B4"/>
    <w:rsid w:val="008B60D6"/>
    <w:rsid w:val="008D4DA4"/>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D40"/>
    <w:rsid w:val="00B52F11"/>
    <w:rsid w:val="00B52F25"/>
    <w:rsid w:val="00B619D1"/>
    <w:rsid w:val="00B6358D"/>
    <w:rsid w:val="00B703CF"/>
    <w:rsid w:val="00B74863"/>
    <w:rsid w:val="00BA15B9"/>
    <w:rsid w:val="00BA2A7F"/>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23B74"/>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0A4D"/>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link w:val="ConsPlusNormal0"/>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 w:type="character" w:customStyle="1" w:styleId="ConsPlusNormal0">
    <w:name w:val="ConsPlusNormal Знак"/>
    <w:link w:val="ConsPlusNormal"/>
    <w:locked/>
    <w:rsid w:val="00E10A4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7rk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BF7C4-DC3A-4434-8B13-3A0B02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2019-08-02T12:03:00Z</cp:lastPrinted>
  <dcterms:created xsi:type="dcterms:W3CDTF">2022-07-20T07:38:00Z</dcterms:created>
  <dcterms:modified xsi:type="dcterms:W3CDTF">2022-07-20T07:38:00Z</dcterms:modified>
</cp:coreProperties>
</file>